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60" w:rsidRPr="009C3321" w:rsidRDefault="00B27E60" w:rsidP="0031170A">
      <w:pPr>
        <w:tabs>
          <w:tab w:val="left" w:pos="4500"/>
        </w:tabs>
        <w:spacing w:line="240" w:lineRule="auto"/>
        <w:ind w:hanging="90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F2CF77" wp14:editId="2F0DFB9F">
            <wp:simplePos x="0" y="0"/>
            <wp:positionH relativeFrom="column">
              <wp:posOffset>7143750</wp:posOffset>
            </wp:positionH>
            <wp:positionV relativeFrom="paragraph">
              <wp:posOffset>-188595</wp:posOffset>
            </wp:positionV>
            <wp:extent cx="800100" cy="752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E8C273" wp14:editId="4478B634">
            <wp:simplePos x="0" y="0"/>
            <wp:positionH relativeFrom="column">
              <wp:posOffset>885825</wp:posOffset>
            </wp:positionH>
            <wp:positionV relativeFrom="paragraph">
              <wp:posOffset>-55245</wp:posOffset>
            </wp:positionV>
            <wp:extent cx="1371600" cy="502920"/>
            <wp:effectExtent l="0" t="0" r="0" b="0"/>
            <wp:wrapNone/>
            <wp:docPr id="1" name="Picture 1" descr="cid:image002.jpg@01D0D06C.431FB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D06C.431FB0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321">
        <w:rPr>
          <w:rFonts w:ascii="Cambria" w:hAnsi="Cambria"/>
          <w:b/>
          <w:noProof/>
          <w:sz w:val="20"/>
          <w:szCs w:val="20"/>
        </w:rPr>
        <w:t>2019</w:t>
      </w:r>
      <w:r w:rsidRPr="009C3321">
        <w:rPr>
          <w:rFonts w:ascii="Cambria" w:hAnsi="Cambria"/>
          <w:b/>
          <w:sz w:val="20"/>
          <w:szCs w:val="20"/>
        </w:rPr>
        <w:t xml:space="preserve"> SCHOOL TARGET IMPLEMENTATION PLAN (TIP)</w:t>
      </w:r>
      <w:r w:rsidRPr="00E20514">
        <w:rPr>
          <w:noProof/>
        </w:rPr>
        <w:t xml:space="preserve"> </w:t>
      </w:r>
    </w:p>
    <w:p w:rsidR="00B27E60" w:rsidRPr="0052277E" w:rsidRDefault="00B27E60" w:rsidP="0031170A">
      <w:pPr>
        <w:spacing w:line="240" w:lineRule="auto"/>
        <w:ind w:hanging="90"/>
        <w:contextualSpacing/>
        <w:jc w:val="center"/>
        <w:rPr>
          <w:rFonts w:ascii="Cambria" w:hAnsi="Cambria"/>
          <w:b/>
          <w:szCs w:val="8"/>
        </w:rPr>
      </w:pPr>
      <w:r>
        <w:rPr>
          <w:rFonts w:ascii="Cambria" w:hAnsi="Cambria"/>
          <w:b/>
          <w:szCs w:val="8"/>
        </w:rPr>
        <w:t>Lincoln Heights</w:t>
      </w:r>
      <w:r>
        <w:rPr>
          <w:rFonts w:ascii="Cambria" w:hAnsi="Cambria"/>
          <w:b/>
          <w:szCs w:val="8"/>
        </w:rPr>
        <w:t xml:space="preserve"> Elementary School</w:t>
      </w:r>
    </w:p>
    <w:p w:rsidR="00B27E60" w:rsidRPr="009C3321" w:rsidRDefault="00B27E60" w:rsidP="0031170A">
      <w:pPr>
        <w:spacing w:line="240" w:lineRule="auto"/>
        <w:ind w:hanging="90"/>
        <w:contextualSpacing/>
        <w:jc w:val="center"/>
        <w:rPr>
          <w:rFonts w:ascii="Cambria" w:hAnsi="Cambria"/>
          <w:b/>
          <w:sz w:val="8"/>
          <w:szCs w:val="8"/>
        </w:rPr>
      </w:pPr>
    </w:p>
    <w:p w:rsidR="00B27E60" w:rsidRPr="009C3321" w:rsidRDefault="00B27E60" w:rsidP="0031170A">
      <w:pPr>
        <w:spacing w:line="240" w:lineRule="auto"/>
        <w:ind w:hanging="90"/>
        <w:contextualSpacing/>
        <w:jc w:val="center"/>
        <w:rPr>
          <w:rFonts w:ascii="Cambria" w:hAnsi="Cambria"/>
          <w:b/>
          <w:sz w:val="20"/>
          <w:szCs w:val="20"/>
          <w:u w:val="single"/>
        </w:rPr>
      </w:pPr>
      <w:r w:rsidRPr="009C3321">
        <w:rPr>
          <w:rFonts w:ascii="Cambria" w:hAnsi="Cambria"/>
          <w:b/>
          <w:sz w:val="20"/>
          <w:szCs w:val="20"/>
          <w:u w:val="single"/>
        </w:rPr>
        <w:t>GOAL:  INCREASE STUDENT ACHIEVEMENT</w:t>
      </w:r>
    </w:p>
    <w:p w:rsidR="00B27E60" w:rsidRPr="009C3321" w:rsidRDefault="00B27E60" w:rsidP="00B27E60">
      <w:pPr>
        <w:spacing w:line="240" w:lineRule="auto"/>
        <w:ind w:hanging="90"/>
        <w:contextualSpacing/>
        <w:jc w:val="center"/>
        <w:rPr>
          <w:rFonts w:ascii="Cambria" w:hAnsi="Cambria"/>
          <w:b/>
          <w:sz w:val="20"/>
          <w:szCs w:val="20"/>
          <w:u w:val="single"/>
        </w:rPr>
      </w:pPr>
      <w:r w:rsidRPr="009C3321">
        <w:rPr>
          <w:rFonts w:ascii="Cambria" w:hAnsi="Cambria"/>
          <w:b/>
          <w:sz w:val="20"/>
          <w:szCs w:val="20"/>
          <w:u w:val="single"/>
        </w:rPr>
        <w:t xml:space="preserve">Strategic Anchors: 1) Trauma Inform Schools 2) New curricula/interventions 3) DALI Tech Integration 4) New </w:t>
      </w:r>
      <w:proofErr w:type="spellStart"/>
      <w:r w:rsidRPr="009C3321">
        <w:rPr>
          <w:rFonts w:ascii="Cambria" w:hAnsi="Cambria"/>
          <w:b/>
          <w:sz w:val="20"/>
          <w:szCs w:val="20"/>
          <w:u w:val="single"/>
        </w:rPr>
        <w:t>Eval</w:t>
      </w:r>
      <w:proofErr w:type="spellEnd"/>
      <w:r w:rsidRPr="009C3321">
        <w:rPr>
          <w:rFonts w:ascii="Cambria" w:hAnsi="Cambria"/>
          <w:b/>
          <w:sz w:val="20"/>
          <w:szCs w:val="20"/>
          <w:u w:val="single"/>
        </w:rPr>
        <w:t xml:space="preserve"> and Instructional Model/ECP’s</w:t>
      </w:r>
    </w:p>
    <w:tbl>
      <w:tblPr>
        <w:tblStyle w:val="MediumShading2-Accent2"/>
        <w:tblpPr w:leftFromText="180" w:rightFromText="180" w:vertAnchor="page" w:horzAnchor="margin" w:tblpXSpec="center" w:tblpY="1561"/>
        <w:tblW w:w="15012" w:type="dxa"/>
        <w:tblLook w:val="00A0" w:firstRow="1" w:lastRow="0" w:firstColumn="1" w:lastColumn="0" w:noHBand="0" w:noVBand="0"/>
      </w:tblPr>
      <w:tblGrid>
        <w:gridCol w:w="4932"/>
        <w:gridCol w:w="5040"/>
        <w:gridCol w:w="5040"/>
      </w:tblGrid>
      <w:tr w:rsidR="008B5E44" w:rsidRPr="008B5E44" w:rsidTr="00B2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2" w:type="dxa"/>
          </w:tcPr>
          <w:p w:rsidR="00B92002" w:rsidRPr="00471F51" w:rsidRDefault="00B92002" w:rsidP="00E80C54">
            <w:pPr>
              <w:spacing w:after="0"/>
              <w:ind w:hanging="90"/>
              <w:contextualSpacing/>
              <w:jc w:val="center"/>
              <w:rPr>
                <w:rFonts w:asciiTheme="minorHAnsi" w:hAnsiTheme="minorHAnsi" w:cs="Calibri"/>
                <w:b w:val="0"/>
                <w:szCs w:val="20"/>
              </w:rPr>
            </w:pPr>
            <w:r w:rsidRPr="00471F51">
              <w:rPr>
                <w:rFonts w:asciiTheme="minorHAnsi" w:hAnsiTheme="minorHAnsi" w:cs="Calibri"/>
                <w:szCs w:val="20"/>
              </w:rPr>
              <w:t>Quality Teaching and Instructional Programming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B92002" w:rsidRPr="00471F51" w:rsidRDefault="00B92002" w:rsidP="00E80C54">
            <w:pPr>
              <w:spacing w:after="0" w:line="240" w:lineRule="auto"/>
              <w:ind w:hanging="90"/>
              <w:contextualSpacing/>
              <w:jc w:val="center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 w:rsidRPr="00471F51">
              <w:rPr>
                <w:rFonts w:asciiTheme="minorHAnsi" w:hAnsiTheme="minorHAnsi" w:cs="Arial"/>
                <w:szCs w:val="20"/>
              </w:rPr>
              <w:t>Safety, Efficiency and Effectiveness</w:t>
            </w:r>
          </w:p>
        </w:tc>
        <w:tc>
          <w:tcPr>
            <w:tcW w:w="5040" w:type="dxa"/>
          </w:tcPr>
          <w:p w:rsidR="00B92002" w:rsidRPr="00471F51" w:rsidRDefault="00B92002" w:rsidP="00E80C54">
            <w:pPr>
              <w:spacing w:after="0" w:line="240" w:lineRule="auto"/>
              <w:ind w:hanging="9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  <w:r w:rsidRPr="00471F51">
              <w:rPr>
                <w:rFonts w:asciiTheme="minorHAnsi" w:hAnsiTheme="minorHAnsi" w:cs="Arial"/>
                <w:szCs w:val="20"/>
              </w:rPr>
              <w:t>Strong Relationships and Equitable Schools</w:t>
            </w:r>
          </w:p>
        </w:tc>
      </w:tr>
      <w:tr w:rsidR="00474A59" w:rsidRPr="00471F51" w:rsidTr="00B2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2" w:type="dxa"/>
            <w:gridSpan w:val="3"/>
          </w:tcPr>
          <w:p w:rsidR="00474A59" w:rsidRPr="00471F51" w:rsidRDefault="00474A59" w:rsidP="00E80C54">
            <w:pPr>
              <w:spacing w:after="0"/>
              <w:ind w:hanging="90"/>
              <w:jc w:val="center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sz w:val="20"/>
                <w:szCs w:val="20"/>
              </w:rPr>
              <w:t>Student Needs</w:t>
            </w:r>
          </w:p>
        </w:tc>
      </w:tr>
      <w:tr w:rsidR="00A84E2B" w:rsidRPr="00471F51" w:rsidTr="00B27E60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2" w:type="dxa"/>
            <w:gridSpan w:val="3"/>
          </w:tcPr>
          <w:p w:rsidR="00A84E2B" w:rsidRPr="00D869F8" w:rsidRDefault="00A84E2B" w:rsidP="00D869F8">
            <w:pPr>
              <w:pStyle w:val="ListParagraph"/>
              <w:ind w:left="0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 xml:space="preserve">Lincoln Heights believes that a Positive School Climate is what sets our school apart from others.  We understand that students will reach high academic standards only if they are presented in a context where students feel </w:t>
            </w:r>
            <w:proofErr w:type="gramStart"/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>safe,</w:t>
            </w:r>
            <w:proofErr w:type="gramEnd"/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20"/>
              </w:rPr>
              <w:t xml:space="preserve"> supported and happily engaged in addition to being challenged.</w:t>
            </w:r>
          </w:p>
        </w:tc>
      </w:tr>
      <w:tr w:rsidR="008B5E44" w:rsidRPr="00471F51" w:rsidTr="00B2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B92002" w:rsidRPr="00471F51" w:rsidRDefault="00C902AD" w:rsidP="00E80C54">
            <w:pPr>
              <w:spacing w:after="0"/>
              <w:ind w:hanging="90"/>
              <w:jc w:val="center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sz w:val="20"/>
                <w:szCs w:val="20"/>
              </w:rPr>
              <w:t>Actions</w:t>
            </w:r>
            <w:r w:rsidR="00B92002" w:rsidRPr="00471F5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B92002" w:rsidRPr="00471F51" w:rsidRDefault="00C902AD" w:rsidP="00E80C54">
            <w:pPr>
              <w:spacing w:after="0"/>
              <w:ind w:hanging="9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b/>
                <w:sz w:val="20"/>
                <w:szCs w:val="20"/>
              </w:rPr>
              <w:t>Actions</w:t>
            </w:r>
          </w:p>
        </w:tc>
        <w:tc>
          <w:tcPr>
            <w:tcW w:w="5040" w:type="dxa"/>
          </w:tcPr>
          <w:p w:rsidR="00B92002" w:rsidRPr="00471F51" w:rsidRDefault="00C902AD" w:rsidP="00E80C54">
            <w:pPr>
              <w:spacing w:after="0"/>
              <w:ind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b/>
                <w:sz w:val="20"/>
                <w:szCs w:val="20"/>
              </w:rPr>
              <w:t>Actions</w:t>
            </w:r>
          </w:p>
        </w:tc>
      </w:tr>
      <w:tr w:rsidR="008B5E44" w:rsidRPr="00471F51" w:rsidTr="00B27E6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AD7F0A" w:rsidRPr="00A84E2B" w:rsidRDefault="00AD7F0A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Teachers will follow the District</w:t>
            </w:r>
            <w:r w:rsidR="00772DA0"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 ELA, Math and Science</w:t>
            </w: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 Learning Guides and assessments to assess individual student needs. </w:t>
            </w: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Teachers will meet with Content Area Specialists </w:t>
            </w:r>
            <w:r w:rsidR="00772DA0"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monthly </w:t>
            </w: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and </w:t>
            </w:r>
            <w:r w:rsidR="00772DA0"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weekly with grade level team to design effective lesson plans.</w:t>
            </w:r>
          </w:p>
          <w:p w:rsidR="00772DA0" w:rsidRPr="00A84E2B" w:rsidRDefault="00772DA0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Teachers will establish and maintain effective classroom routines and procedures that are clear and carried out by both teacher and students with little loss of instruction time. </w:t>
            </w:r>
          </w:p>
          <w:p w:rsidR="00772DA0" w:rsidRPr="00A84E2B" w:rsidRDefault="00772DA0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Teachers will utilize the 16 proactive classroom management strategies and Teach </w:t>
            </w:r>
            <w:proofErr w:type="gramStart"/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Like</w:t>
            </w:r>
            <w:proofErr w:type="gramEnd"/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 a Champion Techniques with a focus on improved student behavior, student engagement and differentiated instruction.  </w:t>
            </w:r>
          </w:p>
          <w:p w:rsidR="00AD7F0A" w:rsidRPr="00A84E2B" w:rsidRDefault="00A92D1C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MTSS </w:t>
            </w:r>
            <w:r w:rsidR="00AD7F0A"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process will be based upon data.  Targeted Intervention groups are formed as a result of data.  Intervention will be delivered in the classroom when appropriate.</w:t>
            </w:r>
            <w:r w:rsidR="00772DA0"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 Students will not be pulled during core instruction and individual needs will be met with in the least restrictive environment.</w:t>
            </w:r>
          </w:p>
          <w:p w:rsidR="00772DA0" w:rsidRPr="00A84E2B" w:rsidRDefault="00772DA0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 xml:space="preserve">Common Assessments will be used in the area of Language Arts, Math and Science in grades K-5.  </w:t>
            </w:r>
          </w:p>
          <w:p w:rsidR="00772DA0" w:rsidRPr="00A84E2B" w:rsidRDefault="00772DA0" w:rsidP="00A84E2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NWEA K-5 will be administered and instruction will be developed based on data results.</w:t>
            </w:r>
          </w:p>
          <w:p w:rsidR="00514B40" w:rsidRPr="00A84E2B" w:rsidRDefault="00772DA0" w:rsidP="00A84E2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6"/>
              </w:rPr>
              <w:t>Opportunities for enrichment will be provided in the classroom, Target Time and through a building HAL coordinator.</w:t>
            </w:r>
          </w:p>
          <w:p w:rsidR="00D869F8" w:rsidRDefault="00D869F8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D869F8" w:rsidRDefault="00D869F8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84E2B" w:rsidRDefault="00A84E2B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84E2B" w:rsidRDefault="00A84E2B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84E2B" w:rsidRDefault="00A84E2B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A84E2B" w:rsidRPr="00471F51" w:rsidRDefault="00A84E2B" w:rsidP="00772DA0">
            <w:pPr>
              <w:spacing w:after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AD7F0A" w:rsidRPr="00BC488A" w:rsidRDefault="00AD7F0A" w:rsidP="00AD7F0A">
            <w:pPr>
              <w:spacing w:after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The Standard Response Protocol will continue to be implemented at Lincoln Heights.</w:t>
            </w:r>
          </w:p>
          <w:p w:rsidR="00AD7F0A" w:rsidRPr="00BC488A" w:rsidRDefault="00AD7F0A" w:rsidP="00AD7F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All new staff will be trained</w:t>
            </w:r>
          </w:p>
          <w:p w:rsidR="00AD7F0A" w:rsidRPr="00BC488A" w:rsidRDefault="00AD7F0A" w:rsidP="00AD7F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Review with all staff</w:t>
            </w:r>
          </w:p>
          <w:p w:rsidR="00A92D1C" w:rsidRPr="00BC488A" w:rsidRDefault="00A92D1C" w:rsidP="00AD7F0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Trained BERT Team</w:t>
            </w:r>
          </w:p>
          <w:p w:rsidR="00AD7F0A" w:rsidRPr="00BC488A" w:rsidRDefault="00AD7F0A" w:rsidP="00AD7F0A">
            <w:pPr>
              <w:spacing w:after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 xml:space="preserve">Continue to implement the ACES behavior program to address bully prevention and intervention initiatives.   </w:t>
            </w:r>
          </w:p>
          <w:p w:rsidR="00AD7F0A" w:rsidRPr="00BC488A" w:rsidRDefault="00AD7F0A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Implement Positive Behavior Supports</w:t>
            </w:r>
          </w:p>
          <w:p w:rsidR="00AD7F0A" w:rsidRPr="00BC488A" w:rsidRDefault="00AD7F0A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Implement 2</w:t>
            </w:r>
            <w:r w:rsidRPr="00BC488A">
              <w:rPr>
                <w:rFonts w:asciiTheme="minorHAnsi" w:hAnsiTheme="minorHAnsi" w:cs="Calibri"/>
                <w:sz w:val="20"/>
                <w:szCs w:val="18"/>
                <w:vertAlign w:val="superscript"/>
              </w:rPr>
              <w:t>nd</w:t>
            </w:r>
            <w:r w:rsidRPr="00BC488A">
              <w:rPr>
                <w:rFonts w:asciiTheme="minorHAnsi" w:hAnsiTheme="minorHAnsi" w:cs="Calibri"/>
                <w:sz w:val="20"/>
                <w:szCs w:val="18"/>
              </w:rPr>
              <w:t xml:space="preserve"> Step Program</w:t>
            </w:r>
          </w:p>
          <w:p w:rsidR="00772DA0" w:rsidRPr="00BC488A" w:rsidRDefault="00772DA0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Community Circles</w:t>
            </w:r>
          </w:p>
          <w:p w:rsidR="00772DA0" w:rsidRDefault="00772DA0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Restorative Relationships</w:t>
            </w:r>
          </w:p>
          <w:p w:rsidR="00224147" w:rsidRDefault="00224147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>
              <w:rPr>
                <w:rFonts w:asciiTheme="minorHAnsi" w:hAnsiTheme="minorHAnsi" w:cs="Calibri"/>
                <w:sz w:val="20"/>
                <w:szCs w:val="18"/>
              </w:rPr>
              <w:t xml:space="preserve">Trauma Sensitive Training </w:t>
            </w:r>
          </w:p>
          <w:p w:rsidR="00224147" w:rsidRDefault="00224147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>
              <w:rPr>
                <w:rFonts w:asciiTheme="minorHAnsi" w:hAnsiTheme="minorHAnsi" w:cs="Calibri"/>
                <w:sz w:val="20"/>
                <w:szCs w:val="18"/>
              </w:rPr>
              <w:t>Zones of Regulation</w:t>
            </w:r>
          </w:p>
          <w:p w:rsidR="00224147" w:rsidRPr="00BC488A" w:rsidRDefault="00224147" w:rsidP="00AD7F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Calibri"/>
                <w:sz w:val="20"/>
                <w:szCs w:val="18"/>
              </w:rPr>
            </w:pPr>
            <w:r>
              <w:rPr>
                <w:rFonts w:asciiTheme="minorHAnsi" w:hAnsiTheme="minorHAnsi" w:cs="Calibri"/>
                <w:sz w:val="20"/>
                <w:szCs w:val="18"/>
              </w:rPr>
              <w:t>Beat the Odds</w:t>
            </w:r>
          </w:p>
          <w:p w:rsidR="00AD7F0A" w:rsidRDefault="00AD7F0A" w:rsidP="00AD7F0A">
            <w:pPr>
              <w:spacing w:after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We will maintain an orderly and comfortable learning environment. Students will have common expectations throughout the building.</w:t>
            </w:r>
            <w:r w:rsidR="00772DA0" w:rsidRPr="00BC488A">
              <w:rPr>
                <w:rFonts w:asciiTheme="minorHAnsi" w:hAnsiTheme="minorHAnsi" w:cs="Calibri"/>
                <w:sz w:val="20"/>
                <w:szCs w:val="18"/>
              </w:rPr>
              <w:t xml:space="preserve">  We will foster an emotionally safe classroom culture that is reflective of positive interactions where mutual respect and restorative relations are evident.</w:t>
            </w:r>
          </w:p>
          <w:p w:rsidR="00BC488A" w:rsidRPr="00BC488A" w:rsidRDefault="00BC488A" w:rsidP="00AD7F0A">
            <w:pPr>
              <w:spacing w:after="0"/>
              <w:rPr>
                <w:rFonts w:asciiTheme="minorHAnsi" w:hAnsiTheme="minorHAnsi" w:cs="Calibri"/>
                <w:sz w:val="20"/>
                <w:szCs w:val="18"/>
              </w:rPr>
            </w:pPr>
          </w:p>
          <w:p w:rsidR="0060477F" w:rsidRPr="00BC488A" w:rsidRDefault="00AD7F0A" w:rsidP="00BC488A">
            <w:pPr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Morning Meeting will be used to recognize the positives at Lincoln Heights.</w:t>
            </w:r>
          </w:p>
          <w:p w:rsidR="001C624E" w:rsidRPr="00E13F3C" w:rsidRDefault="001C624E" w:rsidP="001C62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F3C">
              <w:rPr>
                <w:rFonts w:asciiTheme="minorHAnsi" w:hAnsiTheme="minorHAnsi" w:cstheme="minorHAnsi"/>
                <w:sz w:val="20"/>
                <w:szCs w:val="20"/>
              </w:rPr>
              <w:t xml:space="preserve">Grade Level Student of the Month </w:t>
            </w:r>
          </w:p>
          <w:p w:rsidR="001C624E" w:rsidRPr="00E13F3C" w:rsidRDefault="001C624E" w:rsidP="001C62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F3C">
              <w:rPr>
                <w:rFonts w:asciiTheme="minorHAnsi" w:hAnsiTheme="minorHAnsi" w:cstheme="minorHAnsi"/>
                <w:sz w:val="20"/>
                <w:szCs w:val="20"/>
              </w:rPr>
              <w:t>Positive and motiv</w:t>
            </w:r>
            <w:r w:rsidR="00224147" w:rsidRPr="00E13F3C">
              <w:rPr>
                <w:rFonts w:asciiTheme="minorHAnsi" w:hAnsiTheme="minorHAnsi" w:cstheme="minorHAnsi"/>
                <w:sz w:val="20"/>
                <w:szCs w:val="20"/>
              </w:rPr>
              <w:t>ational cheers/chants and songs</w:t>
            </w:r>
          </w:p>
          <w:p w:rsidR="00224147" w:rsidRPr="00E13F3C" w:rsidRDefault="00224147" w:rsidP="001C624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F3C">
              <w:rPr>
                <w:rFonts w:asciiTheme="minorHAnsi" w:hAnsiTheme="minorHAnsi" w:cstheme="minorHAnsi"/>
                <w:sz w:val="20"/>
                <w:szCs w:val="20"/>
              </w:rPr>
              <w:t>Weekly SEL topics and drawing</w:t>
            </w:r>
          </w:p>
          <w:p w:rsidR="00A84E2B" w:rsidRPr="00A84E2B" w:rsidRDefault="00A84E2B" w:rsidP="00A84E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40" w:type="dxa"/>
          </w:tcPr>
          <w:p w:rsidR="00AD7F0A" w:rsidRPr="00BC488A" w:rsidRDefault="00AD7F0A" w:rsidP="00AD7F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lastRenderedPageBreak/>
              <w:t xml:space="preserve">Parent education through workshops and formalized training opportunities will be planned. 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Family Math Night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Family Literacy Night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 xml:space="preserve">Family Fun </w:t>
            </w:r>
            <w:r w:rsidR="00572E6F" w:rsidRPr="00BC488A">
              <w:rPr>
                <w:rFonts w:asciiTheme="minorHAnsi" w:hAnsiTheme="minorHAnsi" w:cs="Calibri"/>
                <w:sz w:val="20"/>
                <w:szCs w:val="18"/>
              </w:rPr>
              <w:t xml:space="preserve">Fitness </w:t>
            </w:r>
            <w:r w:rsidRPr="00BC488A">
              <w:rPr>
                <w:rFonts w:asciiTheme="minorHAnsi" w:hAnsiTheme="minorHAnsi" w:cs="Calibri"/>
                <w:sz w:val="20"/>
                <w:szCs w:val="18"/>
              </w:rPr>
              <w:t>Night YMCA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 xml:space="preserve">Positive Calls Home 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Adopt a School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Parent Teacher Conferences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PTO/Site Council Meetings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Newsletters</w:t>
            </w:r>
          </w:p>
          <w:p w:rsidR="00772DA0" w:rsidRPr="00BC488A" w:rsidRDefault="00772DA0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Facebook/Twitter</w:t>
            </w:r>
          </w:p>
          <w:p w:rsidR="00AD7F0A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Marquee</w:t>
            </w:r>
          </w:p>
          <w:p w:rsidR="00C55FD3" w:rsidRPr="00BC488A" w:rsidRDefault="00AD7F0A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Teammates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Leadership Team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Talent Show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Thanksgiving Dinner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Homecoming Parade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Music Programs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Invite parent to morning meeting when their child receives the Grade Level Student of The Month.</w:t>
            </w:r>
          </w:p>
          <w:p w:rsidR="001C624E" w:rsidRPr="00BC488A" w:rsidRDefault="001C624E" w:rsidP="001C624E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6"/>
              </w:rPr>
            </w:pPr>
            <w:r w:rsidRPr="00BC488A">
              <w:rPr>
                <w:rFonts w:asciiTheme="minorHAnsi" w:hAnsiTheme="minorHAnsi" w:cs="Calibri"/>
                <w:sz w:val="20"/>
                <w:szCs w:val="18"/>
              </w:rPr>
              <w:t>Ice Cream Social</w:t>
            </w:r>
          </w:p>
          <w:p w:rsidR="001C624E" w:rsidRPr="00471F51" w:rsidRDefault="001C624E" w:rsidP="00572E6F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B5E44" w:rsidRPr="00471F51" w:rsidTr="00B2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B92002" w:rsidRPr="00471F51" w:rsidRDefault="00043353" w:rsidP="00E80C54">
            <w:pPr>
              <w:spacing w:after="0" w:line="240" w:lineRule="auto"/>
              <w:ind w:hanging="90"/>
              <w:jc w:val="center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sz w:val="20"/>
                <w:szCs w:val="20"/>
              </w:rPr>
              <w:lastRenderedPageBreak/>
              <w:t>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B92002" w:rsidRPr="00471F51" w:rsidRDefault="00043353" w:rsidP="00E80C54">
            <w:pPr>
              <w:spacing w:after="0" w:line="240" w:lineRule="auto"/>
              <w:ind w:hanging="9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b/>
                <w:sz w:val="20"/>
                <w:szCs w:val="20"/>
              </w:rPr>
              <w:t>Results</w:t>
            </w:r>
          </w:p>
        </w:tc>
        <w:tc>
          <w:tcPr>
            <w:tcW w:w="5040" w:type="dxa"/>
          </w:tcPr>
          <w:p w:rsidR="00043353" w:rsidRPr="00471F51" w:rsidRDefault="00043353" w:rsidP="00E80C54">
            <w:pPr>
              <w:spacing w:after="0" w:line="240" w:lineRule="auto"/>
              <w:ind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471F51">
              <w:rPr>
                <w:rFonts w:asciiTheme="minorHAnsi" w:hAnsiTheme="minorHAnsi" w:cs="Calibri"/>
                <w:b/>
                <w:sz w:val="20"/>
                <w:szCs w:val="20"/>
              </w:rPr>
              <w:t>Results</w:t>
            </w:r>
          </w:p>
        </w:tc>
      </w:tr>
      <w:tr w:rsidR="008B5E44" w:rsidRPr="00471F51" w:rsidTr="00B27E6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  <w:t>A consistent assessment program providing data for professional collaboration will better inform instructional decisions resulting in an increased number of students who reach proficiency on state standards.</w:t>
            </w: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  <w:t>Quality teaching practices will support increased achievement.</w:t>
            </w:r>
          </w:p>
          <w:p w:rsidR="00AD7F0A" w:rsidRPr="00A84E2B" w:rsidRDefault="00224147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  <w:t>NSCAS</w:t>
            </w:r>
            <w:r w:rsidR="00AD7F0A" w:rsidRPr="00A84E2B">
              <w:rPr>
                <w:rFonts w:asciiTheme="minorHAnsi" w:hAnsiTheme="minorHAnsi" w:cs="Calibri"/>
                <w:color w:val="FFFFFF" w:themeColor="background1"/>
                <w:sz w:val="20"/>
                <w:szCs w:val="18"/>
              </w:rPr>
              <w:t xml:space="preserve"> scores will improve to meet the State’s level of proficiency.</w:t>
            </w:r>
          </w:p>
          <w:p w:rsidR="009B7FAE" w:rsidRPr="00471F51" w:rsidRDefault="009B7FAE" w:rsidP="00345534">
            <w:pPr>
              <w:pStyle w:val="ListParagraph"/>
              <w:ind w:left="2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 xml:space="preserve">When the focus is on clear expectations and routines students feel safe and comfortable.  </w:t>
            </w: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In the event of an emergency, staff will respond using Standard Response Protocol.</w:t>
            </w: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Positive Behavior Supports will validate and reinforce positive student behaviors.</w:t>
            </w: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When students feel safe</w:t>
            </w:r>
            <w:r w:rsidR="00772DA0" w:rsidRPr="00A84E2B">
              <w:rPr>
                <w:rFonts w:asciiTheme="minorHAnsi" w:hAnsiTheme="minorHAnsi" w:cs="Calibri"/>
                <w:sz w:val="20"/>
                <w:szCs w:val="18"/>
              </w:rPr>
              <w:t xml:space="preserve"> and valued</w:t>
            </w:r>
            <w:r w:rsidRPr="00A84E2B">
              <w:rPr>
                <w:rFonts w:asciiTheme="minorHAnsi" w:hAnsiTheme="minorHAnsi" w:cs="Calibri"/>
                <w:sz w:val="20"/>
                <w:szCs w:val="18"/>
              </w:rPr>
              <w:t xml:space="preserve"> there will be an increase in achievement.</w:t>
            </w:r>
          </w:p>
          <w:p w:rsidR="00DF3604" w:rsidRPr="00471F51" w:rsidRDefault="00DF3604" w:rsidP="00DF3604">
            <w:pPr>
              <w:pStyle w:val="ListParagraph"/>
              <w:ind w:left="306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0" w:type="dxa"/>
          </w:tcPr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Parents will be better informed and involved in their child’s education.</w:t>
            </w:r>
          </w:p>
          <w:p w:rsidR="00AD7F0A" w:rsidRPr="00BC488A" w:rsidRDefault="00AD7F0A" w:rsidP="00AD7F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</w:p>
          <w:p w:rsidR="00AD7F0A" w:rsidRPr="00A84E2B" w:rsidRDefault="00AD7F0A" w:rsidP="00A84E2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Parental involvement in the school will increase.</w:t>
            </w:r>
          </w:p>
          <w:p w:rsidR="00AD7F0A" w:rsidRPr="00BC488A" w:rsidRDefault="00AD7F0A" w:rsidP="00AD7F0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0"/>
                <w:szCs w:val="18"/>
              </w:rPr>
            </w:pPr>
          </w:p>
          <w:p w:rsidR="00797E8C" w:rsidRPr="00A84E2B" w:rsidRDefault="00AD7F0A" w:rsidP="00A84E2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A84E2B">
              <w:rPr>
                <w:rFonts w:asciiTheme="minorHAnsi" w:hAnsiTheme="minorHAnsi" w:cs="Calibri"/>
                <w:sz w:val="20"/>
                <w:szCs w:val="18"/>
              </w:rPr>
              <w:t>Students will feel like they are a valued member of the school community.</w:t>
            </w:r>
          </w:p>
        </w:tc>
      </w:tr>
      <w:tr w:rsidR="00B27E60" w:rsidRPr="00471F51" w:rsidTr="00B27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B27E60" w:rsidRPr="00471F51" w:rsidRDefault="00B27E60" w:rsidP="0031170A">
            <w:pPr>
              <w:ind w:hanging="90"/>
              <w:jc w:val="center"/>
              <w:rPr>
                <w:rFonts w:asciiTheme="minorHAnsi" w:eastAsiaTheme="minorHAnsi" w:hAnsiTheme="minorHAnsi"/>
                <w:b w:val="0"/>
                <w:bCs w:val="0"/>
                <w:color w:val="000000"/>
                <w:sz w:val="20"/>
                <w:szCs w:val="20"/>
              </w:rPr>
            </w:pPr>
            <w:r w:rsidRPr="00471F51">
              <w:rPr>
                <w:rFonts w:asciiTheme="minorHAnsi" w:hAnsiTheme="minorHAnsi"/>
                <w:sz w:val="20"/>
                <w:szCs w:val="20"/>
              </w:rPr>
              <w:t>Metrics for Evaluation of Results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B27E60" w:rsidRPr="00B27E60" w:rsidRDefault="00B27E60" w:rsidP="0031170A">
            <w:pPr>
              <w:ind w:hanging="90"/>
              <w:jc w:val="center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27E60">
              <w:rPr>
                <w:rFonts w:asciiTheme="minorHAnsi" w:hAnsiTheme="minorHAnsi"/>
                <w:b/>
                <w:sz w:val="20"/>
                <w:szCs w:val="20"/>
              </w:rPr>
              <w:t>Metrics for Evaluation of Results</w:t>
            </w:r>
          </w:p>
        </w:tc>
        <w:tc>
          <w:tcPr>
            <w:tcW w:w="5040" w:type="dxa"/>
          </w:tcPr>
          <w:p w:rsidR="00B27E60" w:rsidRPr="00B27E60" w:rsidRDefault="00B27E60" w:rsidP="0031170A">
            <w:pPr>
              <w:ind w:hanging="9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27E60">
              <w:rPr>
                <w:rFonts w:asciiTheme="minorHAnsi" w:hAnsiTheme="minorHAnsi"/>
                <w:b/>
                <w:sz w:val="20"/>
                <w:szCs w:val="20"/>
              </w:rPr>
              <w:t>Metrics for Evaluation of Results</w:t>
            </w:r>
          </w:p>
        </w:tc>
      </w:tr>
      <w:tr w:rsidR="00B27E60" w:rsidRPr="00471F51" w:rsidTr="00B27E60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B27E60" w:rsidRPr="00A84E2B" w:rsidRDefault="00B27E60" w:rsidP="0031170A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Observations of classroom instruction will provide evidence of increased student engagement.</w:t>
            </w:r>
          </w:p>
          <w:p w:rsidR="00B27E60" w:rsidRPr="00A84E2B" w:rsidRDefault="00B27E60" w:rsidP="0031170A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Learning Guide implementation will be monitored through regular classroom observations and meetings with Content Area Specialists.</w:t>
            </w:r>
          </w:p>
          <w:p w:rsidR="00B27E60" w:rsidRPr="00A84E2B" w:rsidRDefault="00B27E60" w:rsidP="0031170A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color w:val="FFFFFF" w:themeColor="background1"/>
                <w:sz w:val="20"/>
                <w:szCs w:val="16"/>
              </w:rPr>
            </w:pPr>
            <w:r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NWEA and NSCAS</w:t>
            </w: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 xml:space="preserve"> data will be analyzed to determine academic gaps and implementation of appropriate strategies to address these gaps.</w:t>
            </w:r>
          </w:p>
          <w:p w:rsidR="00B27E60" w:rsidRPr="00A84E2B" w:rsidRDefault="00B27E60" w:rsidP="0031170A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Student performance on common assessments will be compiled and</w:t>
            </w:r>
            <w:r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 xml:space="preserve"> the</w:t>
            </w: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 xml:space="preserve"> result</w:t>
            </w:r>
            <w:r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s will be</w:t>
            </w: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 xml:space="preserve"> analyzed within meetings with Content Area Specialists.</w:t>
            </w:r>
          </w:p>
          <w:p w:rsidR="00B27E60" w:rsidRPr="00A84E2B" w:rsidRDefault="00B27E60" w:rsidP="0031170A">
            <w:pPr>
              <w:pStyle w:val="ListParagraph"/>
              <w:numPr>
                <w:ilvl w:val="0"/>
                <w:numId w:val="10"/>
              </w:numPr>
              <w:ind w:left="288" w:hanging="288"/>
              <w:rPr>
                <w:rFonts w:asciiTheme="minorHAnsi" w:hAnsiTheme="minorHAnsi"/>
                <w:color w:val="FFFFFF" w:themeColor="background1"/>
                <w:sz w:val="20"/>
                <w:szCs w:val="16"/>
              </w:rPr>
            </w:pPr>
            <w:r w:rsidRPr="00A84E2B">
              <w:rPr>
                <w:rFonts w:asciiTheme="minorHAnsi" w:hAnsiTheme="minorHAnsi" w:cs="Arial"/>
                <w:iCs/>
                <w:color w:val="FFFFFF" w:themeColor="background1"/>
                <w:sz w:val="20"/>
                <w:szCs w:val="16"/>
              </w:rPr>
              <w:t>Professional development needs of staff will be identified and implemented.</w:t>
            </w:r>
          </w:p>
          <w:p w:rsidR="00B27E60" w:rsidRPr="00471F51" w:rsidRDefault="00B27E60" w:rsidP="0031170A">
            <w:pPr>
              <w:pStyle w:val="ListParagraph"/>
              <w:ind w:left="28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40" w:type="dxa"/>
          </w:tcPr>
          <w:p w:rsidR="00B27E60" w:rsidRPr="00BC488A" w:rsidRDefault="00B27E60" w:rsidP="0031170A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asciiTheme="minorHAnsi" w:hAnsiTheme="minorHAnsi" w:cs="Arial"/>
                <w:iCs/>
                <w:sz w:val="20"/>
                <w:szCs w:val="16"/>
              </w:rPr>
            </w:pP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Lockdown drills will be done using different scenarios and times of day.</w:t>
            </w:r>
          </w:p>
          <w:p w:rsidR="00B27E60" w:rsidRPr="00BC488A" w:rsidRDefault="00B27E60" w:rsidP="0031170A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asciiTheme="minorHAnsi" w:hAnsiTheme="minorHAnsi" w:cs="Arial"/>
                <w:iCs/>
                <w:sz w:val="20"/>
                <w:szCs w:val="16"/>
              </w:rPr>
            </w:pP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Use of radios to increase communication.</w:t>
            </w:r>
          </w:p>
          <w:p w:rsidR="00B27E60" w:rsidRPr="00D869F8" w:rsidRDefault="00B27E60" w:rsidP="0031170A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rFonts w:asciiTheme="minorHAnsi" w:hAnsiTheme="minorHAnsi" w:cs="Arial"/>
                <w:iCs/>
                <w:sz w:val="18"/>
                <w:szCs w:val="16"/>
              </w:rPr>
            </w:pP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Go Bags with emergency information.</w:t>
            </w:r>
          </w:p>
          <w:p w:rsidR="00B27E60" w:rsidRPr="00471F51" w:rsidRDefault="00B27E60" w:rsidP="0031170A">
            <w:pPr>
              <w:pStyle w:val="ListParagraph"/>
              <w:ind w:left="342"/>
              <w:rPr>
                <w:rFonts w:asciiTheme="minorHAnsi" w:hAnsiTheme="minorHAnsi" w:cs="Arial"/>
                <w:iCs/>
                <w:sz w:val="16"/>
                <w:szCs w:val="16"/>
              </w:rPr>
            </w:pPr>
          </w:p>
        </w:tc>
        <w:tc>
          <w:tcPr>
            <w:tcW w:w="5040" w:type="dxa"/>
          </w:tcPr>
          <w:p w:rsidR="00B27E60" w:rsidRPr="00BC488A" w:rsidRDefault="00B27E60" w:rsidP="0031170A">
            <w:pPr>
              <w:pStyle w:val="ListParagraph"/>
              <w:numPr>
                <w:ilvl w:val="0"/>
                <w:numId w:val="11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Websites will be kept up to date and monitored by building principal.</w:t>
            </w:r>
          </w:p>
          <w:p w:rsidR="00B27E60" w:rsidRPr="00BC488A" w:rsidRDefault="00B27E60" w:rsidP="0031170A">
            <w:pPr>
              <w:pStyle w:val="ListParagraph"/>
              <w:numPr>
                <w:ilvl w:val="0"/>
                <w:numId w:val="11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16"/>
              </w:rPr>
              <w:t>S</w:t>
            </w: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urvey data will indicate students feel safe at school.</w:t>
            </w:r>
          </w:p>
          <w:p w:rsidR="00B27E60" w:rsidRPr="00BC488A" w:rsidRDefault="00B27E60" w:rsidP="0031170A">
            <w:pPr>
              <w:pStyle w:val="ListParagraph"/>
              <w:numPr>
                <w:ilvl w:val="0"/>
                <w:numId w:val="11"/>
              </w:numPr>
              <w:ind w:left="36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BC488A">
              <w:rPr>
                <w:rFonts w:asciiTheme="minorHAnsi" w:hAnsiTheme="minorHAnsi" w:cs="Arial"/>
                <w:iCs/>
                <w:sz w:val="20"/>
                <w:szCs w:val="16"/>
              </w:rPr>
              <w:t>Survey results will indicate parents feel valued and involved in the school community.</w:t>
            </w:r>
          </w:p>
          <w:p w:rsidR="00B27E60" w:rsidRPr="00471F51" w:rsidRDefault="00B27E60" w:rsidP="0031170A">
            <w:pPr>
              <w:ind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B92002" w:rsidRPr="00471F51" w:rsidRDefault="00B92002" w:rsidP="00E80C54">
      <w:pPr>
        <w:ind w:left="-360" w:hanging="90"/>
        <w:jc w:val="center"/>
        <w:rPr>
          <w:rFonts w:asciiTheme="minorHAnsi" w:hAnsiTheme="minorHAnsi"/>
          <w:sz w:val="20"/>
          <w:szCs w:val="20"/>
        </w:rPr>
      </w:pPr>
    </w:p>
    <w:sectPr w:rsidR="00B92002" w:rsidRPr="00471F51" w:rsidSect="00E80C54">
      <w:pgSz w:w="15840" w:h="12240" w:orient="landscape" w:code="1"/>
      <w:pgMar w:top="432" w:right="432" w:bottom="432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2B" w:rsidRDefault="00A84E2B" w:rsidP="00A84E2B">
      <w:pPr>
        <w:spacing w:after="0" w:line="240" w:lineRule="auto"/>
      </w:pPr>
      <w:r>
        <w:separator/>
      </w:r>
    </w:p>
  </w:endnote>
  <w:endnote w:type="continuationSeparator" w:id="0">
    <w:p w:rsidR="00A84E2B" w:rsidRDefault="00A84E2B" w:rsidP="00A8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2B" w:rsidRDefault="00A84E2B" w:rsidP="00A84E2B">
      <w:pPr>
        <w:spacing w:after="0" w:line="240" w:lineRule="auto"/>
      </w:pPr>
      <w:r>
        <w:separator/>
      </w:r>
    </w:p>
  </w:footnote>
  <w:footnote w:type="continuationSeparator" w:id="0">
    <w:p w:rsidR="00A84E2B" w:rsidRDefault="00A84E2B" w:rsidP="00A8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253"/>
    <w:multiLevelType w:val="hybridMultilevel"/>
    <w:tmpl w:val="53E2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B5129"/>
    <w:multiLevelType w:val="hybridMultilevel"/>
    <w:tmpl w:val="B0789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1225F"/>
    <w:multiLevelType w:val="hybridMultilevel"/>
    <w:tmpl w:val="16BC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0B5E"/>
    <w:multiLevelType w:val="hybridMultilevel"/>
    <w:tmpl w:val="76E4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0259"/>
    <w:multiLevelType w:val="hybridMultilevel"/>
    <w:tmpl w:val="EC36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52A16"/>
    <w:multiLevelType w:val="hybridMultilevel"/>
    <w:tmpl w:val="77F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D3520"/>
    <w:multiLevelType w:val="hybridMultilevel"/>
    <w:tmpl w:val="3F7A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F0D00"/>
    <w:multiLevelType w:val="hybridMultilevel"/>
    <w:tmpl w:val="16EE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154D3"/>
    <w:multiLevelType w:val="hybridMultilevel"/>
    <w:tmpl w:val="453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467FA"/>
    <w:multiLevelType w:val="hybridMultilevel"/>
    <w:tmpl w:val="639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4FE1"/>
    <w:multiLevelType w:val="hybridMultilevel"/>
    <w:tmpl w:val="4ED8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10F84"/>
    <w:multiLevelType w:val="hybridMultilevel"/>
    <w:tmpl w:val="C0D68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3F34"/>
    <w:multiLevelType w:val="hybridMultilevel"/>
    <w:tmpl w:val="F256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51803"/>
    <w:multiLevelType w:val="hybridMultilevel"/>
    <w:tmpl w:val="A8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D7EEF"/>
    <w:multiLevelType w:val="hybridMultilevel"/>
    <w:tmpl w:val="7BD6606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3697FC5"/>
    <w:multiLevelType w:val="hybridMultilevel"/>
    <w:tmpl w:val="EC1E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E5828"/>
    <w:multiLevelType w:val="hybridMultilevel"/>
    <w:tmpl w:val="C4A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2"/>
    <w:rsid w:val="00026BA9"/>
    <w:rsid w:val="00043353"/>
    <w:rsid w:val="00061E51"/>
    <w:rsid w:val="000749BA"/>
    <w:rsid w:val="00082517"/>
    <w:rsid w:val="00082FA9"/>
    <w:rsid w:val="00083EC6"/>
    <w:rsid w:val="000B65A6"/>
    <w:rsid w:val="000C18C9"/>
    <w:rsid w:val="000F25A1"/>
    <w:rsid w:val="0010659A"/>
    <w:rsid w:val="00144290"/>
    <w:rsid w:val="001907B6"/>
    <w:rsid w:val="0019343F"/>
    <w:rsid w:val="001C34A6"/>
    <w:rsid w:val="001C624E"/>
    <w:rsid w:val="001E62FA"/>
    <w:rsid w:val="001E69AF"/>
    <w:rsid w:val="002011F5"/>
    <w:rsid w:val="00224147"/>
    <w:rsid w:val="00230728"/>
    <w:rsid w:val="0024006E"/>
    <w:rsid w:val="002503B6"/>
    <w:rsid w:val="00254FAF"/>
    <w:rsid w:val="00261AB5"/>
    <w:rsid w:val="002A2F3E"/>
    <w:rsid w:val="002B3062"/>
    <w:rsid w:val="002B31FE"/>
    <w:rsid w:val="002E3569"/>
    <w:rsid w:val="002F0ACA"/>
    <w:rsid w:val="00312B38"/>
    <w:rsid w:val="00317F32"/>
    <w:rsid w:val="00326BAC"/>
    <w:rsid w:val="00345534"/>
    <w:rsid w:val="003704B4"/>
    <w:rsid w:val="00380B08"/>
    <w:rsid w:val="0039380A"/>
    <w:rsid w:val="003D08CA"/>
    <w:rsid w:val="003D1525"/>
    <w:rsid w:val="00416FD8"/>
    <w:rsid w:val="004249D5"/>
    <w:rsid w:val="0044008E"/>
    <w:rsid w:val="004606C7"/>
    <w:rsid w:val="00471F51"/>
    <w:rsid w:val="00474A59"/>
    <w:rsid w:val="004E662C"/>
    <w:rsid w:val="00503972"/>
    <w:rsid w:val="00514B40"/>
    <w:rsid w:val="00517B09"/>
    <w:rsid w:val="00520F3E"/>
    <w:rsid w:val="0053548D"/>
    <w:rsid w:val="00572E6F"/>
    <w:rsid w:val="00576E5F"/>
    <w:rsid w:val="005806F0"/>
    <w:rsid w:val="0058085E"/>
    <w:rsid w:val="00587E01"/>
    <w:rsid w:val="005953B4"/>
    <w:rsid w:val="005C73D3"/>
    <w:rsid w:val="0060477F"/>
    <w:rsid w:val="00604866"/>
    <w:rsid w:val="00655ECB"/>
    <w:rsid w:val="00691E82"/>
    <w:rsid w:val="006B0098"/>
    <w:rsid w:val="006C7CB8"/>
    <w:rsid w:val="006D15A2"/>
    <w:rsid w:val="006D1E81"/>
    <w:rsid w:val="006E0862"/>
    <w:rsid w:val="006E37F4"/>
    <w:rsid w:val="0071209E"/>
    <w:rsid w:val="00715D63"/>
    <w:rsid w:val="007249A5"/>
    <w:rsid w:val="00730634"/>
    <w:rsid w:val="0074370A"/>
    <w:rsid w:val="00765C4F"/>
    <w:rsid w:val="00772DA0"/>
    <w:rsid w:val="0077593A"/>
    <w:rsid w:val="00797E8C"/>
    <w:rsid w:val="007A5A70"/>
    <w:rsid w:val="007B1548"/>
    <w:rsid w:val="00825AA7"/>
    <w:rsid w:val="00844FB8"/>
    <w:rsid w:val="008B0721"/>
    <w:rsid w:val="008B5E44"/>
    <w:rsid w:val="009016E2"/>
    <w:rsid w:val="00916304"/>
    <w:rsid w:val="00941844"/>
    <w:rsid w:val="009654DB"/>
    <w:rsid w:val="00994C3D"/>
    <w:rsid w:val="009B7FAE"/>
    <w:rsid w:val="009C79C5"/>
    <w:rsid w:val="009D2CC2"/>
    <w:rsid w:val="009E1550"/>
    <w:rsid w:val="009F6076"/>
    <w:rsid w:val="009F709F"/>
    <w:rsid w:val="00A20196"/>
    <w:rsid w:val="00A27590"/>
    <w:rsid w:val="00A81482"/>
    <w:rsid w:val="00A84E2B"/>
    <w:rsid w:val="00A872CF"/>
    <w:rsid w:val="00A92D1C"/>
    <w:rsid w:val="00A95B2C"/>
    <w:rsid w:val="00A96B63"/>
    <w:rsid w:val="00AA315A"/>
    <w:rsid w:val="00AA6890"/>
    <w:rsid w:val="00AB1392"/>
    <w:rsid w:val="00AD7F0A"/>
    <w:rsid w:val="00AF40B0"/>
    <w:rsid w:val="00B256EE"/>
    <w:rsid w:val="00B27E60"/>
    <w:rsid w:val="00B3014D"/>
    <w:rsid w:val="00B47DBD"/>
    <w:rsid w:val="00B70289"/>
    <w:rsid w:val="00B92002"/>
    <w:rsid w:val="00BB0473"/>
    <w:rsid w:val="00BC488A"/>
    <w:rsid w:val="00C13CD5"/>
    <w:rsid w:val="00C149FF"/>
    <w:rsid w:val="00C32E5B"/>
    <w:rsid w:val="00C51AC1"/>
    <w:rsid w:val="00C55FD3"/>
    <w:rsid w:val="00C8082A"/>
    <w:rsid w:val="00C84A8F"/>
    <w:rsid w:val="00C902AD"/>
    <w:rsid w:val="00CA3D58"/>
    <w:rsid w:val="00CA59F6"/>
    <w:rsid w:val="00CB3552"/>
    <w:rsid w:val="00CB71E6"/>
    <w:rsid w:val="00CD1778"/>
    <w:rsid w:val="00D0162F"/>
    <w:rsid w:val="00D031F0"/>
    <w:rsid w:val="00D200B6"/>
    <w:rsid w:val="00D2339F"/>
    <w:rsid w:val="00D4075F"/>
    <w:rsid w:val="00D472B8"/>
    <w:rsid w:val="00D75FFF"/>
    <w:rsid w:val="00D869F8"/>
    <w:rsid w:val="00DD156C"/>
    <w:rsid w:val="00DE7B76"/>
    <w:rsid w:val="00DF3604"/>
    <w:rsid w:val="00E06118"/>
    <w:rsid w:val="00E11BEF"/>
    <w:rsid w:val="00E121F0"/>
    <w:rsid w:val="00E13F3C"/>
    <w:rsid w:val="00E3051F"/>
    <w:rsid w:val="00E42072"/>
    <w:rsid w:val="00E53360"/>
    <w:rsid w:val="00E53537"/>
    <w:rsid w:val="00E70607"/>
    <w:rsid w:val="00E80C54"/>
    <w:rsid w:val="00E9644F"/>
    <w:rsid w:val="00E9678B"/>
    <w:rsid w:val="00EA0C9C"/>
    <w:rsid w:val="00EB4106"/>
    <w:rsid w:val="00F0148E"/>
    <w:rsid w:val="00F16BF8"/>
    <w:rsid w:val="00F452FC"/>
    <w:rsid w:val="00F51486"/>
    <w:rsid w:val="00F85FDE"/>
    <w:rsid w:val="00FA5369"/>
    <w:rsid w:val="00FA71E4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9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02"/>
    <w:pPr>
      <w:spacing w:after="0" w:line="240" w:lineRule="auto"/>
      <w:ind w:left="720"/>
    </w:pPr>
    <w:rPr>
      <w:rFonts w:ascii="Verdana" w:eastAsiaTheme="minorHAnsi" w:hAnsi="Verdana"/>
      <w:color w:val="000000"/>
      <w:sz w:val="24"/>
      <w:szCs w:val="24"/>
    </w:rPr>
  </w:style>
  <w:style w:type="table" w:styleId="MediumGrid2-Accent2">
    <w:name w:val="Medium Grid 2 Accent 2"/>
    <w:basedOn w:val="TableNormal"/>
    <w:uiPriority w:val="68"/>
    <w:rsid w:val="00471F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471F5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471F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8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2B"/>
  </w:style>
  <w:style w:type="paragraph" w:styleId="Footer">
    <w:name w:val="footer"/>
    <w:basedOn w:val="Normal"/>
    <w:link w:val="FooterChar"/>
    <w:uiPriority w:val="99"/>
    <w:unhideWhenUsed/>
    <w:rsid w:val="00A8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2B"/>
  </w:style>
  <w:style w:type="table" w:styleId="MediumShading2-Accent2">
    <w:name w:val="Medium Shading 2 Accent 2"/>
    <w:basedOn w:val="TableNormal"/>
    <w:uiPriority w:val="64"/>
    <w:rsid w:val="00B27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39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E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02"/>
    <w:pPr>
      <w:spacing w:after="0" w:line="240" w:lineRule="auto"/>
      <w:ind w:left="720"/>
    </w:pPr>
    <w:rPr>
      <w:rFonts w:ascii="Verdana" w:eastAsiaTheme="minorHAnsi" w:hAnsi="Verdana"/>
      <w:color w:val="000000"/>
      <w:sz w:val="24"/>
      <w:szCs w:val="24"/>
    </w:rPr>
  </w:style>
  <w:style w:type="table" w:styleId="MediumGrid2-Accent2">
    <w:name w:val="Medium Grid 2 Accent 2"/>
    <w:basedOn w:val="TableNormal"/>
    <w:uiPriority w:val="68"/>
    <w:rsid w:val="00471F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471F5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5">
    <w:name w:val="Medium Grid 3 Accent 5"/>
    <w:basedOn w:val="TableNormal"/>
    <w:uiPriority w:val="69"/>
    <w:rsid w:val="00471F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8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2B"/>
  </w:style>
  <w:style w:type="paragraph" w:styleId="Footer">
    <w:name w:val="footer"/>
    <w:basedOn w:val="Normal"/>
    <w:link w:val="FooterChar"/>
    <w:uiPriority w:val="99"/>
    <w:unhideWhenUsed/>
    <w:rsid w:val="00A8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2B"/>
  </w:style>
  <w:style w:type="table" w:styleId="MediumShading2-Accent2">
    <w:name w:val="Medium Shading 2 Accent 2"/>
    <w:basedOn w:val="TableNormal"/>
    <w:uiPriority w:val="64"/>
    <w:rsid w:val="00B27E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D0ED72.7F1CE8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TARGET IMPLEMENTATION PLAN</vt:lpstr>
    </vt:vector>
  </TitlesOfParts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TARGET IMPLEMENTATION PLAN</dc:title>
  <dc:creator>tech tech</dc:creator>
  <cp:lastModifiedBy>AutoBVT</cp:lastModifiedBy>
  <cp:revision>3</cp:revision>
  <cp:lastPrinted>2018-11-29T18:00:00Z</cp:lastPrinted>
  <dcterms:created xsi:type="dcterms:W3CDTF">2018-11-29T17:59:00Z</dcterms:created>
  <dcterms:modified xsi:type="dcterms:W3CDTF">2018-11-29T18:00:00Z</dcterms:modified>
</cp:coreProperties>
</file>